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仿宋" w:eastAsia="方正小标宋简体" w:cs="宋体"/>
          <w:spacing w:val="-14"/>
          <w:kern w:val="0"/>
          <w:sz w:val="44"/>
          <w:szCs w:val="44"/>
        </w:rPr>
      </w:pPr>
      <w:r>
        <w:rPr>
          <w:rFonts w:hint="eastAsia" w:ascii="方正小标宋简体" w:hAnsi="方正小标宋简体" w:eastAsia="方正小标宋简体" w:cs="方正小标宋简体"/>
          <w:color w:val="auto"/>
          <w:sz w:val="44"/>
          <w:szCs w:val="44"/>
        </w:rPr>
        <w:t>陕西省</w:t>
      </w:r>
      <w:r>
        <w:rPr>
          <w:rFonts w:hint="eastAsia" w:ascii="方正小标宋简体" w:hAnsi="方正小标宋简体" w:eastAsia="方正小标宋简体" w:cs="方正小标宋简体"/>
          <w:color w:val="auto"/>
          <w:sz w:val="44"/>
          <w:szCs w:val="44"/>
          <w:lang w:eastAsia="zh-CN"/>
        </w:rPr>
        <w:t>住房城乡建设</w:t>
      </w:r>
      <w:r>
        <w:rPr>
          <w:rFonts w:hint="eastAsia" w:ascii="方正小标宋简体" w:hAnsi="仿宋" w:eastAsia="方正小标宋简体" w:cs="宋体"/>
          <w:spacing w:val="-14"/>
          <w:kern w:val="0"/>
          <w:sz w:val="44"/>
          <w:szCs w:val="44"/>
        </w:rPr>
        <w:t>行政处罚</w:t>
      </w:r>
      <w:r>
        <w:rPr>
          <w:rFonts w:hint="eastAsia" w:ascii="方正小标宋简体" w:hAnsi="仿宋" w:eastAsia="方正小标宋简体" w:cs="宋体"/>
          <w:spacing w:val="-14"/>
          <w:kern w:val="0"/>
          <w:sz w:val="44"/>
          <w:szCs w:val="44"/>
          <w:lang w:val="en-US" w:eastAsia="zh-CN"/>
        </w:rPr>
        <w:t>自由</w:t>
      </w:r>
      <w:r>
        <w:rPr>
          <w:rFonts w:hint="eastAsia" w:ascii="方正小标宋简体" w:hAnsi="仿宋" w:eastAsia="方正小标宋简体" w:cs="宋体"/>
          <w:spacing w:val="-14"/>
          <w:kern w:val="0"/>
          <w:sz w:val="44"/>
          <w:szCs w:val="44"/>
        </w:rPr>
        <w:t>裁量基准</w:t>
      </w:r>
    </w:p>
    <w:p>
      <w:pPr>
        <w:widowControl w:val="0"/>
        <w:wordWrap/>
        <w:adjustRightInd/>
        <w:snapToGrid/>
        <w:spacing w:line="560" w:lineRule="exact"/>
        <w:jc w:val="center"/>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（消防设计审查验收类）</w:t>
      </w:r>
    </w:p>
    <w:p>
      <w:pPr>
        <w:jc w:val="left"/>
        <w:rPr>
          <w:rFonts w:ascii="仿宋_GB2312" w:hAnsi="仿宋" w:eastAsia="仿宋_GB2312" w:cs="宋体"/>
          <w:spacing w:val="-4"/>
          <w:kern w:val="0"/>
          <w:sz w:val="32"/>
          <w:szCs w:val="32"/>
        </w:rPr>
      </w:pPr>
      <w:r>
        <w:rPr>
          <w:rFonts w:hint="eastAsia" w:ascii="仿宋_GB2312" w:hAnsi="’Times New Roman’" w:eastAsia="仿宋_GB2312" w:cs="’Times New Roman’"/>
          <w:snapToGrid w:val="0"/>
          <w:kern w:val="0"/>
          <w:sz w:val="32"/>
          <w:szCs w:val="32"/>
        </w:rPr>
        <w:t>编号：</w:t>
      </w:r>
      <w:r>
        <w:rPr>
          <w:rFonts w:hint="eastAsia" w:ascii="仿宋_GB2312" w:hAnsi="仿宋_GB2312" w:eastAsia="仿宋_GB2312" w:cs="’Times New Roman’"/>
          <w:snapToGrid w:val="0"/>
          <w:kern w:val="0"/>
          <w:sz w:val="32"/>
          <w:szCs w:val="32"/>
        </w:rPr>
        <w:t>001</w:t>
      </w:r>
    </w:p>
    <w:tbl>
      <w:tblPr>
        <w:tblStyle w:val="5"/>
        <w:tblW w:w="14501"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1568"/>
        <w:gridCol w:w="4096"/>
        <w:gridCol w:w="2480"/>
        <w:gridCol w:w="1914"/>
        <w:gridCol w:w="197"/>
        <w:gridCol w:w="2111"/>
        <w:gridCol w:w="2112"/>
        <w:gridCol w:w="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blCellSpacing w:w="0" w:type="dxa"/>
          <w:jc w:val="center"/>
        </w:trPr>
        <w:tc>
          <w:tcPr>
            <w:tcW w:w="1575"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910" w:type="dxa"/>
            <w:gridSpan w:val="6"/>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1.依法应当进行消防设计审查的建设工程，未经依法审查或者审查不合格，擅自施工；</w:t>
            </w:r>
          </w:p>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2.依法应当进行消防验收的建设工程，未经消防验收或者消防验收不合格，擅自投入使用。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blCellSpacing w:w="0" w:type="dxa"/>
          <w:jc w:val="center"/>
        </w:trPr>
        <w:tc>
          <w:tcPr>
            <w:tcW w:w="1575"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910" w:type="dxa"/>
            <w:gridSpan w:val="6"/>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八条第一款第一项、第二项，违反本法规定，有下列行为之一的，由住房和城乡建设主管部门、消防救援机构按照各自职权责令停止施工、停止使用或者停产停业，并处三万元以上三十万元以下罚款：</w:t>
            </w:r>
          </w:p>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（一）依法应当进行消防设计审查的建设工程，未经依法审查或者审查不合格，擅自施工的；</w:t>
            </w:r>
          </w:p>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（二）依法应当进行消防验收的建设工程，未经消防验收或者消防验收不合格，擅自投入使用的</w:t>
            </w:r>
            <w:r>
              <w:rPr>
                <w:rFonts w:hint="eastAsia" w:ascii="仿宋_GB2312" w:hAnsi="ˎ̥" w:eastAsia="仿宋_GB2312" w:cs="宋体"/>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631" w:hRule="atLeast"/>
          <w:tblCellSpacing w:w="0" w:type="dxa"/>
          <w:jc w:val="center"/>
        </w:trPr>
        <w:tc>
          <w:tcPr>
            <w:tcW w:w="1575" w:type="dxa"/>
            <w:gridSpan w:val="2"/>
            <w:vMerge w:val="restart"/>
            <w:tcBorders>
              <w:top w:val="outset" w:color="auto" w:sz="6" w:space="0"/>
              <w:left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6576" w:type="dxa"/>
            <w:gridSpan w:val="2"/>
            <w:vMerge w:val="restart"/>
            <w:tcBorders>
              <w:top w:val="outset" w:color="auto" w:sz="6" w:space="0"/>
              <w:left w:val="outset" w:color="auto" w:sz="6" w:space="0"/>
              <w:bottom w:val="outset" w:color="auto" w:sz="6" w:space="0"/>
              <w:right w:val="outset" w:color="auto" w:sz="6" w:space="0"/>
            </w:tcBorders>
            <w:vAlign w:val="center"/>
          </w:tcPr>
          <w:p>
            <w:pPr>
              <w:overflowPunct w:val="0"/>
              <w:spacing w:line="400" w:lineRule="exact"/>
              <w:rPr>
                <w:rFonts w:ascii="仿宋_GB2312" w:hAnsi="ˎ̥" w:eastAsia="仿宋_GB2312" w:cs="宋体"/>
                <w:color w:val="FF0000"/>
                <w:kern w:val="0"/>
                <w:sz w:val="28"/>
                <w:szCs w:val="28"/>
              </w:rPr>
            </w:pPr>
            <w:r>
              <w:rPr>
                <w:rFonts w:hint="eastAsia" w:ascii="仿宋_GB2312" w:hAnsi="ˎ̥" w:eastAsia="仿宋_GB2312" w:cs="宋体"/>
                <w:kern w:val="0"/>
                <w:sz w:val="28"/>
                <w:szCs w:val="28"/>
              </w:rPr>
              <w:t>1.体育场馆、会堂，公共展览馆、博物馆的展示厅</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从轻</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一般</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90"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vMerge w:val="continue"/>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w:t>
            </w:r>
          </w:p>
          <w:p>
            <w:pPr>
              <w:overflowPunct w:val="0"/>
              <w:spacing w:line="400" w:lineRule="exact"/>
              <w:jc w:val="center"/>
              <w:rPr>
                <w:rFonts w:ascii="仿宋_GB2312" w:hAnsi="ˎ̥" w:eastAsia="仿宋_GB2312" w:cs="宋体"/>
                <w:color w:val="FF0000"/>
                <w:kern w:val="0"/>
                <w:sz w:val="28"/>
                <w:szCs w:val="28"/>
              </w:rPr>
            </w:pPr>
            <w:r>
              <w:rPr>
                <w:rFonts w:hint="eastAsia" w:ascii="仿宋_GB2312" w:hAnsi="ˎ̥" w:eastAsia="仿宋_GB2312" w:cs="宋体"/>
                <w:kern w:val="0"/>
                <w:sz w:val="28"/>
                <w:szCs w:val="28"/>
              </w:rPr>
              <w:t>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40000m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40000m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w:t>
            </w:r>
          </w:p>
          <w:p>
            <w:pPr>
              <w:overflowPunct w:val="0"/>
              <w:spacing w:line="400" w:lineRule="exact"/>
              <w:jc w:val="center"/>
              <w:rPr>
                <w:rFonts w:ascii="仿宋_GB2312" w:hAnsi="ˎ̥" w:eastAsia="仿宋_GB2312" w:cs="宋体"/>
                <w:color w:val="FF0000"/>
                <w:kern w:val="0"/>
                <w:sz w:val="28"/>
                <w:szCs w:val="28"/>
              </w:rPr>
            </w:pPr>
            <w:r>
              <w:rPr>
                <w:rFonts w:hint="eastAsia" w:ascii="仿宋_GB2312" w:hAnsi="ˎ̥" w:eastAsia="仿宋_GB2312" w:cs="宋体"/>
                <w:kern w:val="0"/>
                <w:sz w:val="28"/>
                <w:szCs w:val="28"/>
              </w:rPr>
              <w:t>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80000m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color w:val="FF0000"/>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80000m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008"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2.民用机场航站楼、客运车站候车室、客运码头候船厅</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15000m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30000m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30000m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60000m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60000m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119"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3.宾馆、饭店、商场、市场</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10000m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20000m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50000m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50000m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39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4.影剧院，公共图书馆的阅览室，营业性室内健身、休闲场馆，医院的门诊楼，大学的教学楼、图书馆、食堂，劳动密集型企业的生产加工车间，寺庙、教堂</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2500m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10000m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10000m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39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5.托儿所，幼儿园的儿童用房、儿童游乐厅等室内儿童活动场所，养老院、福利院、医院、疗养院的病房楼，中小学校的教学楼、图书馆、食堂，学校的集体宿舍，劳动密集型企业的员工集体宿舍</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1000m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2000m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39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6.歌舞厅、录像厅、放映厅、卡拉0K厅、夜总会、游艺厅、桑拿浴室、网吧、酒吧，具有娱乐功能的餐馆、茶馆、咖啡厅</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500m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2000m</w:t>
            </w:r>
            <w:r>
              <w:rPr>
                <w:rFonts w:hint="eastAsia" w:ascii="仿宋_GB2312" w:hAnsi="ˎ̥" w:eastAsia="仿宋_GB2312" w:cs="宋体"/>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2000m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总建筑面积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总建筑面积</w:t>
            </w:r>
            <w:r>
              <w:rPr>
                <w:rFonts w:ascii="Arial" w:hAnsi="Arial" w:eastAsia="仿宋_GB2312" w:cs="Arial"/>
                <w:kern w:val="0"/>
                <w:sz w:val="28"/>
                <w:szCs w:val="28"/>
              </w:rPr>
              <w:t>≥</w:t>
            </w:r>
            <w:r>
              <w:rPr>
                <w:rFonts w:hint="eastAsia" w:ascii="仿宋_GB2312" w:hAnsi="ˎ̥" w:eastAsia="仿宋_GB2312" w:cs="宋体"/>
                <w:kern w:val="0"/>
                <w:sz w:val="28"/>
                <w:szCs w:val="28"/>
              </w:rPr>
              <w:t>5000m</w:t>
            </w:r>
            <w:r>
              <w:rPr>
                <w:rFonts w:hint="eastAsia" w:ascii="仿宋_GB2312" w:hAnsi="ˎ̥" w:eastAsia="仿宋_GB2312" w:cs="宋体"/>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03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7.设有上述第一项至第六项所列情形的建设工程</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hint="eastAsia" w:ascii="仿宋_GB2312" w:hAnsi="ˎ̥" w:eastAsia="仿宋_GB2312" w:cs="宋体"/>
                <w:kern w:val="0"/>
                <w:sz w:val="28"/>
                <w:szCs w:val="28"/>
              </w:rPr>
            </w:pPr>
            <w:r>
              <w:rPr>
                <w:rFonts w:hint="eastAsia" w:ascii="仿宋_GB2312" w:hAnsi="ˎ̥" w:eastAsia="仿宋_GB2312" w:cs="宋体"/>
                <w:kern w:val="0"/>
                <w:sz w:val="28"/>
                <w:szCs w:val="28"/>
                <w:lang w:val="en-US" w:eastAsia="zh-CN"/>
              </w:rPr>
              <w:t>对照上述第一项项至第六项</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hint="eastAsia" w:ascii="仿宋_GB2312" w:hAnsi="ˎ̥" w:eastAsia="仿宋_GB2312" w:cs="宋体"/>
                <w:kern w:val="0"/>
                <w:sz w:val="28"/>
                <w:szCs w:val="28"/>
              </w:rPr>
            </w:pPr>
            <w:r>
              <w:rPr>
                <w:rFonts w:hint="eastAsia" w:ascii="仿宋_GB2312" w:hAnsi="ˎ̥" w:eastAsia="仿宋_GB2312" w:cs="宋体"/>
                <w:kern w:val="0"/>
                <w:sz w:val="28"/>
                <w:szCs w:val="28"/>
                <w:lang w:val="en-US" w:eastAsia="zh-CN"/>
              </w:rPr>
              <w:t>对照上述第一项项至第六项</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hint="eastAsia" w:ascii="仿宋_GB2312" w:hAnsi="ˎ̥" w:eastAsia="仿宋_GB2312" w:cs="宋体"/>
                <w:kern w:val="0"/>
                <w:sz w:val="28"/>
                <w:szCs w:val="28"/>
              </w:rPr>
            </w:pPr>
            <w:r>
              <w:rPr>
                <w:rFonts w:hint="eastAsia" w:ascii="仿宋_GB2312" w:hAnsi="ˎ̥" w:eastAsia="仿宋_GB2312" w:cs="宋体"/>
                <w:kern w:val="0"/>
                <w:sz w:val="28"/>
                <w:szCs w:val="28"/>
                <w:lang w:val="en-US" w:eastAsia="zh-CN"/>
              </w:rPr>
              <w:t>对照上述第一项项至第六项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15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8.国家机关办公楼、电力调度楼、电信楼、邮政楼、防灾指挥调度楼、广播电视楼、档案楼</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建筑分类为单、多层公共建筑</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建筑分类为二类高层公共建筑</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建筑分类为一类高层公共建筑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39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9.生产、储存、装卸易燃易爆危险物品的工厂、仓库和专用车站、码头，易燃易爆气体和液体的充装站、供应站、调压站</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三级加油、加气、加氢站；工程规模为小型的</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二级加油、加气、加氢站；工程规模为中型的</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一级加油、加气、加氢站；工程规模为大型的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06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10.国家工程建设消防技术标准规定的一类高层住宅建筑</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单体建筑面积&lt;15000m</w:t>
            </w:r>
            <w:r>
              <w:rPr>
                <w:rFonts w:hint="eastAsia" w:ascii="仿宋_GB2312" w:hAnsi="ˎ̥" w:eastAsia="仿宋_GB2312" w:cs="宋体"/>
                <w:color w:val="auto"/>
                <w:kern w:val="0"/>
                <w:sz w:val="28"/>
                <w:szCs w:val="28"/>
                <w:vertAlign w:val="superscript"/>
              </w:rPr>
              <w:t>2</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15000m</w:t>
            </w:r>
            <w:r>
              <w:rPr>
                <w:rFonts w:hint="eastAsia" w:ascii="仿宋_GB2312" w:hAnsi="ˎ̥" w:eastAsia="仿宋_GB2312" w:cs="宋体"/>
                <w:color w:val="auto"/>
                <w:kern w:val="0"/>
                <w:sz w:val="28"/>
                <w:szCs w:val="28"/>
                <w:vertAlign w:val="superscript"/>
              </w:rPr>
              <w:t>2</w:t>
            </w:r>
            <w:r>
              <w:rPr>
                <w:rFonts w:ascii="仿宋_GB2312" w:hAnsi="ˎ̥" w:eastAsia="仿宋_GB2312" w:cs="宋体"/>
                <w:color w:val="auto"/>
                <w:kern w:val="0"/>
                <w:sz w:val="28"/>
                <w:szCs w:val="28"/>
              </w:rPr>
              <w:t>≤</w:t>
            </w:r>
            <w:r>
              <w:rPr>
                <w:rFonts w:hint="eastAsia" w:ascii="仿宋_GB2312" w:hAnsi="ˎ̥" w:eastAsia="仿宋_GB2312" w:cs="宋体"/>
                <w:color w:val="auto"/>
                <w:kern w:val="0"/>
                <w:sz w:val="28"/>
                <w:szCs w:val="28"/>
              </w:rPr>
              <w:t>单体建筑面积&lt;30000m</w:t>
            </w:r>
            <w:r>
              <w:rPr>
                <w:rFonts w:hint="eastAsia" w:ascii="仿宋_GB2312" w:hAnsi="ˎ̥" w:eastAsia="仿宋_GB2312" w:cs="宋体"/>
                <w:color w:val="auto"/>
                <w:kern w:val="0"/>
                <w:sz w:val="28"/>
                <w:szCs w:val="28"/>
                <w:vertAlign w:val="superscript"/>
              </w:rPr>
              <w:t>2</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单体建筑面积</w:t>
            </w:r>
            <w:r>
              <w:rPr>
                <w:rFonts w:ascii="仿宋_GB2312" w:hAnsi="ˎ̥" w:eastAsia="仿宋_GB2312" w:cs="宋体"/>
                <w:color w:val="auto"/>
                <w:kern w:val="0"/>
                <w:sz w:val="28"/>
                <w:szCs w:val="28"/>
              </w:rPr>
              <w:t>≥</w:t>
            </w:r>
            <w:r>
              <w:rPr>
                <w:rFonts w:hint="eastAsia" w:ascii="仿宋_GB2312" w:hAnsi="ˎ̥" w:eastAsia="仿宋_GB2312" w:cs="宋体"/>
                <w:color w:val="auto"/>
                <w:kern w:val="0"/>
                <w:sz w:val="28"/>
                <w:szCs w:val="28"/>
              </w:rPr>
              <w:t>30000m</w:t>
            </w:r>
            <w:r>
              <w:rPr>
                <w:rFonts w:hint="eastAsia" w:ascii="仿宋_GB2312" w:hAnsi="ˎ̥" w:eastAsia="仿宋_GB2312" w:cs="宋体"/>
                <w:color w:val="auto"/>
                <w:kern w:val="0"/>
                <w:sz w:val="28"/>
                <w:szCs w:val="28"/>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077"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11.城市轨道交通、隧道工程，大型发电、变配电工程</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总投资额&lt;5亿元</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5亿元</w:t>
            </w:r>
            <w:r>
              <w:rPr>
                <w:rFonts w:ascii="仿宋_GB2312" w:hAnsi="ˎ̥" w:eastAsia="仿宋_GB2312" w:cs="宋体"/>
                <w:kern w:val="0"/>
                <w:sz w:val="28"/>
                <w:szCs w:val="28"/>
              </w:rPr>
              <w:t>≤</w:t>
            </w:r>
            <w:r>
              <w:rPr>
                <w:rFonts w:hint="eastAsia" w:ascii="仿宋_GB2312" w:hAnsi="ˎ̥" w:eastAsia="仿宋_GB2312" w:cs="宋体"/>
                <w:kern w:val="0"/>
                <w:sz w:val="28"/>
                <w:szCs w:val="28"/>
              </w:rPr>
              <w:t>总投资额&lt;10亿元</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总投资额</w:t>
            </w:r>
            <w:r>
              <w:rPr>
                <w:rFonts w:ascii="仿宋_GB2312" w:hAnsi="ˎ̥" w:eastAsia="仿宋_GB2312" w:cs="宋体"/>
                <w:kern w:val="0"/>
                <w:sz w:val="28"/>
                <w:szCs w:val="28"/>
              </w:rPr>
              <w:t>≥</w:t>
            </w:r>
            <w:r>
              <w:rPr>
                <w:rFonts w:hint="eastAsia" w:ascii="仿宋_GB2312" w:hAnsi="ˎ̥" w:eastAsia="仿宋_GB2312" w:cs="宋体"/>
                <w:kern w:val="0"/>
                <w:sz w:val="28"/>
                <w:szCs w:val="28"/>
              </w:rPr>
              <w:t>10亿元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6" w:type="dxa"/>
          <w:trHeight w:val="1395" w:hRule="atLeast"/>
          <w:tblCellSpacing w:w="0" w:type="dxa"/>
          <w:jc w:val="center"/>
        </w:trPr>
        <w:tc>
          <w:tcPr>
            <w:tcW w:w="1575" w:type="dxa"/>
            <w:gridSpan w:val="2"/>
            <w:vMerge w:val="continue"/>
            <w:tcBorders>
              <w:left w:val="outset" w:color="auto" w:sz="6" w:space="0"/>
              <w:right w:val="outset" w:color="auto" w:sz="6" w:space="0"/>
            </w:tcBorders>
            <w:vAlign w:val="center"/>
          </w:tcPr>
          <w:p>
            <w:pPr>
              <w:overflowPunct w:val="0"/>
              <w:spacing w:line="440" w:lineRule="exact"/>
              <w:jc w:val="left"/>
            </w:pPr>
          </w:p>
        </w:tc>
        <w:tc>
          <w:tcPr>
            <w:tcW w:w="6576"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pPr>
            <w:r>
              <w:rPr>
                <w:rFonts w:hint="eastAsia" w:ascii="仿宋_GB2312" w:hAnsi="ˎ̥" w:eastAsia="仿宋_GB2312" w:cs="宋体"/>
                <w:kern w:val="0"/>
                <w:sz w:val="28"/>
                <w:szCs w:val="28"/>
              </w:rPr>
              <w:t>12.第七项、第八项以外的单体建筑面积大于四万平方米或者建筑高度超过五十米的公共建筑</w:t>
            </w:r>
          </w:p>
        </w:tc>
        <w:tc>
          <w:tcPr>
            <w:tcW w:w="2111"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40000m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单体建筑面积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80000m</w:t>
            </w:r>
            <w:r>
              <w:rPr>
                <w:rFonts w:hint="eastAsia" w:ascii="仿宋_GB2312" w:hAnsi="ˎ̥" w:eastAsia="仿宋_GB2312" w:cs="宋体"/>
                <w:kern w:val="0"/>
                <w:sz w:val="28"/>
                <w:szCs w:val="28"/>
                <w:vertAlign w:val="superscript"/>
              </w:rPr>
              <w:t>2</w:t>
            </w:r>
            <w:r>
              <w:rPr>
                <w:rFonts w:hint="eastAsia" w:ascii="仿宋_GB2312" w:hAnsi="ˎ̥" w:eastAsia="仿宋_GB2312" w:cs="宋体"/>
                <w:kern w:val="0"/>
                <w:sz w:val="28"/>
                <w:szCs w:val="28"/>
              </w:rPr>
              <w:t>或50m</w:t>
            </w:r>
            <w:r>
              <w:rPr>
                <w:rFonts w:ascii="Arial" w:hAnsi="Arial" w:eastAsia="仿宋_GB2312" w:cs="Arial"/>
                <w:kern w:val="0"/>
                <w:sz w:val="28"/>
                <w:szCs w:val="28"/>
              </w:rPr>
              <w:t>≤</w:t>
            </w:r>
            <w:r>
              <w:rPr>
                <w:rFonts w:hint="eastAsia" w:ascii="仿宋_GB2312" w:hAnsi="ˎ̥" w:eastAsia="仿宋_GB2312" w:cs="宋体"/>
                <w:kern w:val="0"/>
                <w:sz w:val="28"/>
                <w:szCs w:val="28"/>
              </w:rPr>
              <w:t>建筑高度</w:t>
            </w:r>
            <w:r>
              <w:rPr>
                <w:rFonts w:hint="eastAsia" w:ascii="Arial" w:hAnsi="Arial" w:eastAsia="仿宋_GB2312" w:cs="Arial"/>
                <w:kern w:val="0"/>
                <w:sz w:val="28"/>
                <w:szCs w:val="28"/>
              </w:rPr>
              <w:t>&lt;</w:t>
            </w:r>
            <w:r>
              <w:rPr>
                <w:rFonts w:hint="eastAsia" w:ascii="仿宋_GB2312" w:hAnsi="ˎ̥" w:eastAsia="仿宋_GB2312" w:cs="宋体"/>
                <w:kern w:val="0"/>
                <w:sz w:val="28"/>
                <w:szCs w:val="28"/>
              </w:rPr>
              <w:t>100m</w:t>
            </w:r>
          </w:p>
        </w:tc>
        <w:tc>
          <w:tcPr>
            <w:tcW w:w="2111"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80000m</w:t>
            </w:r>
            <w:r>
              <w:rPr>
                <w:rFonts w:hint="eastAsia" w:ascii="仿宋_GB2312" w:hAnsi="ˎ̥" w:eastAsia="仿宋_GB2312" w:cs="宋体"/>
                <w:kern w:val="0"/>
                <w:sz w:val="28"/>
                <w:szCs w:val="28"/>
                <w:vertAlign w:val="superscript"/>
              </w:rPr>
              <w:t>2</w:t>
            </w:r>
            <w:r>
              <w:rPr>
                <w:rFonts w:ascii="Arial" w:hAnsi="Arial" w:eastAsia="仿宋_GB2312" w:cs="Arial"/>
                <w:kern w:val="0"/>
                <w:sz w:val="28"/>
                <w:szCs w:val="28"/>
              </w:rPr>
              <w:t>≤</w:t>
            </w:r>
            <w:r>
              <w:rPr>
                <w:rFonts w:hint="eastAsia" w:ascii="仿宋_GB2312" w:hAnsi="ˎ̥" w:eastAsia="仿宋_GB2312" w:cs="宋体"/>
                <w:kern w:val="0"/>
                <w:sz w:val="28"/>
                <w:szCs w:val="28"/>
              </w:rPr>
              <w:t>单体建筑面积</w:t>
            </w:r>
            <w:r>
              <w:rPr>
                <w:rFonts w:hint="eastAsia" w:ascii="Arial" w:hAnsi="Arial" w:eastAsia="仿宋_GB2312" w:cs="Arial"/>
                <w:kern w:val="0"/>
                <w:sz w:val="28"/>
                <w:szCs w:val="28"/>
              </w:rPr>
              <w:t>&lt;</w:t>
            </w:r>
            <w:r>
              <w:rPr>
                <w:rFonts w:hint="eastAsia" w:ascii="仿宋_GB2312" w:hAnsi="ˎ̥" w:eastAsia="仿宋_GB2312" w:cs="宋体"/>
                <w:kern w:val="0"/>
                <w:sz w:val="28"/>
                <w:szCs w:val="28"/>
              </w:rPr>
              <w:t>150000m</w:t>
            </w:r>
            <w:r>
              <w:rPr>
                <w:rFonts w:hint="eastAsia" w:ascii="仿宋_GB2312" w:hAnsi="ˎ̥" w:eastAsia="仿宋_GB2312" w:cs="宋体"/>
                <w:kern w:val="0"/>
                <w:sz w:val="28"/>
                <w:szCs w:val="28"/>
                <w:vertAlign w:val="superscript"/>
              </w:rPr>
              <w:t>2</w:t>
            </w:r>
            <w:r>
              <w:rPr>
                <w:rFonts w:hint="eastAsia" w:ascii="仿宋_GB2312" w:hAnsi="ˎ̥" w:eastAsia="仿宋_GB2312" w:cs="宋体"/>
                <w:kern w:val="0"/>
                <w:sz w:val="28"/>
                <w:szCs w:val="28"/>
              </w:rPr>
              <w:t>或100m</w:t>
            </w:r>
            <w:r>
              <w:rPr>
                <w:rFonts w:ascii="Arial" w:hAnsi="Arial" w:eastAsia="仿宋_GB2312" w:cs="Arial"/>
                <w:kern w:val="0"/>
                <w:sz w:val="28"/>
                <w:szCs w:val="28"/>
              </w:rPr>
              <w:t>≤</w:t>
            </w:r>
            <w:r>
              <w:rPr>
                <w:rFonts w:hint="eastAsia" w:ascii="仿宋_GB2312" w:hAnsi="ˎ̥" w:eastAsia="仿宋_GB2312" w:cs="宋体"/>
                <w:kern w:val="0"/>
                <w:sz w:val="28"/>
                <w:szCs w:val="28"/>
              </w:rPr>
              <w:t>建筑高度</w:t>
            </w:r>
            <w:r>
              <w:rPr>
                <w:rFonts w:hint="eastAsia" w:ascii="Arial" w:hAnsi="Arial" w:eastAsia="仿宋_GB2312" w:cs="Arial"/>
                <w:kern w:val="0"/>
                <w:sz w:val="28"/>
                <w:szCs w:val="28"/>
              </w:rPr>
              <w:t>&lt;</w:t>
            </w:r>
            <w:r>
              <w:rPr>
                <w:rFonts w:hint="eastAsia" w:ascii="仿宋_GB2312" w:hAnsi="ˎ̥" w:eastAsia="仿宋_GB2312" w:cs="宋体"/>
                <w:kern w:val="0"/>
                <w:sz w:val="28"/>
                <w:szCs w:val="28"/>
              </w:rPr>
              <w:t>250m</w:t>
            </w:r>
          </w:p>
        </w:tc>
        <w:tc>
          <w:tcPr>
            <w:tcW w:w="211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单体建筑面积</w:t>
            </w:r>
            <w:r>
              <w:rPr>
                <w:rFonts w:ascii="Arial" w:hAnsi="Arial" w:eastAsia="仿宋_GB2312" w:cs="Arial"/>
                <w:kern w:val="0"/>
                <w:sz w:val="28"/>
                <w:szCs w:val="28"/>
              </w:rPr>
              <w:t>≥</w:t>
            </w:r>
            <w:r>
              <w:rPr>
                <w:rFonts w:hint="eastAsia" w:ascii="仿宋_GB2312" w:hAnsi="ˎ̥" w:eastAsia="仿宋_GB2312" w:cs="宋体"/>
                <w:kern w:val="0"/>
                <w:sz w:val="28"/>
                <w:szCs w:val="28"/>
              </w:rPr>
              <w:t>150000m</w:t>
            </w:r>
            <w:r>
              <w:rPr>
                <w:rFonts w:hint="eastAsia" w:ascii="仿宋_GB2312" w:hAnsi="ˎ̥" w:eastAsia="仿宋_GB2312" w:cs="宋体"/>
                <w:kern w:val="0"/>
                <w:sz w:val="28"/>
                <w:szCs w:val="28"/>
                <w:vertAlign w:val="superscript"/>
              </w:rPr>
              <w:t>2</w:t>
            </w:r>
            <w:r>
              <w:rPr>
                <w:rFonts w:hint="eastAsia" w:ascii="仿宋_GB2312" w:hAnsi="ˎ̥" w:eastAsia="仿宋_GB2312" w:cs="宋体"/>
                <w:kern w:val="0"/>
                <w:sz w:val="28"/>
                <w:szCs w:val="28"/>
              </w:rPr>
              <w:t>或建筑高度</w:t>
            </w:r>
            <w:r>
              <w:rPr>
                <w:rFonts w:ascii="Arial" w:hAnsi="Arial" w:eastAsia="仿宋_GB2312" w:cs="Arial"/>
                <w:kern w:val="0"/>
                <w:sz w:val="28"/>
                <w:szCs w:val="28"/>
              </w:rPr>
              <w:t>≥</w:t>
            </w:r>
            <w:r>
              <w:rPr>
                <w:rFonts w:hint="eastAsia" w:ascii="仿宋_GB2312" w:hAnsi="ˎ̥" w:eastAsia="仿宋_GB2312" w:cs="宋体"/>
                <w:kern w:val="0"/>
                <w:sz w:val="28"/>
                <w:szCs w:val="28"/>
              </w:rPr>
              <w:t>250m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18" w:hRule="atLeast"/>
          <w:tblCellSpacing w:w="0" w:type="dxa"/>
          <w:jc w:val="center"/>
        </w:trPr>
        <w:tc>
          <w:tcPr>
            <w:tcW w:w="15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096"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val="en-US" w:eastAsia="zh-CN"/>
              </w:rPr>
              <w:t>从</w:t>
            </w:r>
            <w:r>
              <w:rPr>
                <w:rFonts w:hint="eastAsia" w:ascii="黑体" w:hAnsi="黑体" w:eastAsia="黑体" w:cs="黑体"/>
                <w:color w:val="auto"/>
                <w:kern w:val="0"/>
                <w:sz w:val="28"/>
                <w:szCs w:val="28"/>
                <w:lang w:eastAsia="zh-CN"/>
              </w:rPr>
              <w:t>轻</w:t>
            </w:r>
          </w:p>
        </w:tc>
        <w:tc>
          <w:tcPr>
            <w:tcW w:w="4394"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一般</w:t>
            </w:r>
          </w:p>
        </w:tc>
        <w:tc>
          <w:tcPr>
            <w:tcW w:w="4436" w:type="dxa"/>
            <w:gridSpan w:val="4"/>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val="en-US" w:eastAsia="zh-CN"/>
              </w:rPr>
              <w:t>从</w:t>
            </w:r>
            <w:r>
              <w:rPr>
                <w:rFonts w:hint="eastAsia" w:ascii="黑体" w:hAnsi="黑体" w:eastAsia="黑体" w:cs="黑体"/>
                <w:color w:val="auto"/>
                <w:kern w:val="0"/>
                <w:sz w:val="28"/>
                <w:szCs w:val="28"/>
                <w:lang w:eastAsia="zh-CN"/>
              </w:rPr>
              <w:t>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blCellSpacing w:w="0" w:type="dxa"/>
          <w:jc w:val="center"/>
        </w:trPr>
        <w:tc>
          <w:tcPr>
            <w:tcW w:w="15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096"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责令停止施工或停止使用，并处</w:t>
            </w:r>
          </w:p>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三万元以上</w:t>
            </w:r>
            <w:r>
              <w:rPr>
                <w:rFonts w:hint="eastAsia" w:ascii="仿宋_GB2312" w:hAnsi="ˎ̥" w:eastAsia="仿宋_GB2312" w:cs="宋体"/>
                <w:kern w:val="0"/>
                <w:sz w:val="28"/>
                <w:szCs w:val="28"/>
                <w:lang w:eastAsia="zh-CN"/>
              </w:rPr>
              <w:t>九</w:t>
            </w:r>
            <w:r>
              <w:rPr>
                <w:rFonts w:hint="eastAsia" w:ascii="仿宋_GB2312" w:hAnsi="ˎ̥" w:eastAsia="仿宋_GB2312" w:cs="宋体"/>
                <w:kern w:val="0"/>
                <w:sz w:val="28"/>
                <w:szCs w:val="28"/>
              </w:rPr>
              <w:t>万元以下罚款</w:t>
            </w:r>
          </w:p>
        </w:tc>
        <w:tc>
          <w:tcPr>
            <w:tcW w:w="4394" w:type="dxa"/>
            <w:gridSpan w:val="2"/>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责令停止施工或停止使用，并处</w:t>
            </w:r>
          </w:p>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color w:val="auto"/>
                <w:kern w:val="0"/>
                <w:sz w:val="28"/>
                <w:szCs w:val="28"/>
                <w:lang w:eastAsia="zh-CN"/>
              </w:rPr>
              <w:t>九</w:t>
            </w:r>
            <w:r>
              <w:rPr>
                <w:rFonts w:hint="eastAsia" w:ascii="仿宋_GB2312" w:hAnsi="ˎ̥" w:eastAsia="仿宋_GB2312" w:cs="宋体"/>
                <w:color w:val="auto"/>
                <w:kern w:val="0"/>
                <w:sz w:val="28"/>
                <w:szCs w:val="28"/>
              </w:rPr>
              <w:t>万元以上</w:t>
            </w:r>
            <w:r>
              <w:rPr>
                <w:rFonts w:hint="eastAsia" w:ascii="仿宋_GB2312" w:hAnsi="ˎ̥" w:eastAsia="仿宋_GB2312" w:cs="宋体"/>
                <w:kern w:val="0"/>
                <w:sz w:val="28"/>
                <w:szCs w:val="28"/>
              </w:rPr>
              <w:t>二十一万元以下罚款</w:t>
            </w:r>
          </w:p>
        </w:tc>
        <w:tc>
          <w:tcPr>
            <w:tcW w:w="4436" w:type="dxa"/>
            <w:gridSpan w:val="4"/>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责令停止施工或停止使用，并处</w:t>
            </w:r>
          </w:p>
          <w:p>
            <w:pPr>
              <w:overflowPunct w:val="0"/>
              <w:spacing w:line="4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二十一万元以上三十万元以下罚款</w:t>
            </w:r>
          </w:p>
        </w:tc>
      </w:tr>
    </w:tbl>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kern w:val="0"/>
          <w:sz w:val="28"/>
          <w:szCs w:val="28"/>
        </w:rPr>
        <w:t>注：第九项工程规模划分标准参照住房和城乡建设部《工程设计资质标准》执行；</w:t>
      </w:r>
    </w:p>
    <w:p>
      <w:pPr>
        <w:overflowPunct w:val="0"/>
        <w:spacing w:line="4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第十项、第十二项所称“单体建筑面积”是指违法</w:t>
      </w:r>
      <w:r>
        <w:rPr>
          <w:rFonts w:hint="eastAsia" w:ascii="仿宋_GB2312" w:hAnsi="ˎ̥" w:eastAsia="仿宋_GB2312" w:cs="宋体"/>
          <w:kern w:val="0"/>
          <w:sz w:val="28"/>
          <w:szCs w:val="28"/>
          <w:lang w:val="en-US" w:eastAsia="zh-CN"/>
        </w:rPr>
        <w:t>项目</w:t>
      </w:r>
      <w:r>
        <w:rPr>
          <w:rFonts w:hint="eastAsia" w:ascii="仿宋_GB2312" w:hAnsi="ˎ̥" w:eastAsia="仿宋_GB2312" w:cs="宋体"/>
          <w:kern w:val="0"/>
          <w:sz w:val="28"/>
          <w:szCs w:val="28"/>
        </w:rPr>
        <w:t>中对应类别单体规模最大建筑的单体建筑面积；</w:t>
      </w:r>
    </w:p>
    <w:p>
      <w:pPr>
        <w:overflowPunct w:val="0"/>
        <w:spacing w:line="4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第十一项所称“总投资额”是指建设工程总承包合同中约定的总投资数额；</w:t>
      </w:r>
    </w:p>
    <w:p>
      <w:pPr>
        <w:overflowPunct w:val="0"/>
        <w:spacing w:line="4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若建设工程同时满足不同裁量档次的情形，按照较重的一档执行。</w:t>
      </w:r>
    </w:p>
    <w:p>
      <w:pPr>
        <w:rPr>
          <w:rFonts w:ascii="仿宋_GB2312" w:hAnsi="ˎ̥" w:eastAsia="仿宋_GB2312" w:cs="宋体"/>
          <w:kern w:val="0"/>
          <w:sz w:val="32"/>
          <w:szCs w:val="32"/>
        </w:rPr>
      </w:pPr>
      <w:r>
        <w:rPr>
          <w:rFonts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编号：002</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23"/>
        <w:gridCol w:w="4048"/>
        <w:gridCol w:w="4394"/>
        <w:gridCol w:w="43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其他建设工程验收后经依法抽查不合格，不停止使用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八条第一款第三项，违反本法规定，有下列行为之一的，由住房和城乡建设主管部门、消防救援机构按照各自职权责令停止施工、停止使用或者停产停业，并处三万元以上三十万元以下罚款：</w:t>
            </w:r>
          </w:p>
          <w:p>
            <w:pPr>
              <w:overflowPunct w:val="0"/>
              <w:spacing w:line="4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（三）本法第十三条规定的其他建设工程验收后经依法抽查不合格，不停止使用的</w:t>
            </w:r>
            <w:r>
              <w:rPr>
                <w:rFonts w:hint="eastAsia" w:ascii="仿宋_GB2312" w:hAnsi="ˎ̥" w:eastAsia="仿宋_GB2312" w:cs="宋体"/>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其他建设工程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从轻</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一般</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color w:val="auto"/>
                <w:kern w:val="0"/>
                <w:sz w:val="28"/>
                <w:szCs w:val="28"/>
              </w:rPr>
              <w:t>违反国家工程建设消防技术标准中带</w:t>
            </w:r>
            <w:r>
              <w:rPr>
                <w:rFonts w:hint="eastAsia" w:ascii="仿宋_GB2312" w:hAnsi="ˎ̥" w:eastAsia="仿宋_GB2312" w:cs="宋体"/>
                <w:kern w:val="0"/>
                <w:sz w:val="28"/>
                <w:szCs w:val="28"/>
              </w:rPr>
              <w:t>有“严禁”“必须”“应”“不应”“不得”要求的非强制性条文四条以下且未违反国家工程建设消防技术标准强制性条文</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color w:val="auto"/>
                <w:kern w:val="0"/>
                <w:sz w:val="28"/>
                <w:szCs w:val="28"/>
              </w:rPr>
              <w:t>违反国家工程建设消防技术标准强制性条文一条，或者</w:t>
            </w:r>
            <w:r>
              <w:rPr>
                <w:rFonts w:hint="eastAsia" w:ascii="仿宋_GB2312" w:hAnsi="ˎ̥" w:eastAsia="仿宋_GB2312" w:cs="宋体"/>
                <w:color w:val="auto"/>
                <w:kern w:val="0"/>
                <w:sz w:val="28"/>
                <w:szCs w:val="28"/>
                <w:lang w:val="en-US" w:eastAsia="zh-CN"/>
              </w:rPr>
              <w:t>违反</w:t>
            </w:r>
            <w:r>
              <w:rPr>
                <w:rFonts w:hint="eastAsia" w:ascii="仿宋_GB2312" w:hAnsi="ˎ̥" w:eastAsia="仿宋_GB2312" w:cs="宋体"/>
                <w:color w:val="auto"/>
                <w:kern w:val="0"/>
                <w:sz w:val="28"/>
                <w:szCs w:val="28"/>
              </w:rPr>
              <w:t>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非强制性条文四条以上八条以下</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left"/>
              <w:rPr>
                <w:rFonts w:ascii="仿宋_GB2312" w:hAnsi="ˎ̥" w:eastAsia="仿宋_GB2312" w:cs="宋体"/>
                <w:kern w:val="0"/>
                <w:sz w:val="28"/>
                <w:szCs w:val="28"/>
              </w:rPr>
            </w:pPr>
            <w:r>
              <w:rPr>
                <w:rFonts w:hint="eastAsia" w:ascii="仿宋_GB2312" w:hAnsi="ˎ̥" w:eastAsia="仿宋_GB2312" w:cs="宋体"/>
                <w:color w:val="auto"/>
                <w:kern w:val="0"/>
                <w:sz w:val="28"/>
                <w:szCs w:val="28"/>
              </w:rPr>
              <w:t>违反国家工程建设消防技术标准强制性条文二条以上，或者</w:t>
            </w:r>
            <w:r>
              <w:rPr>
                <w:rFonts w:hint="eastAsia" w:ascii="仿宋_GB2312" w:hAnsi="ˎ̥" w:eastAsia="仿宋_GB2312" w:cs="宋体"/>
                <w:color w:val="auto"/>
                <w:kern w:val="0"/>
                <w:sz w:val="28"/>
                <w:szCs w:val="28"/>
                <w:lang w:val="en-US" w:eastAsia="zh-CN"/>
              </w:rPr>
              <w:t>违反</w:t>
            </w:r>
            <w:r>
              <w:rPr>
                <w:rFonts w:hint="eastAsia" w:ascii="仿宋_GB2312" w:hAnsi="ˎ̥" w:eastAsia="仿宋_GB2312" w:cs="宋体"/>
                <w:color w:val="auto"/>
                <w:kern w:val="0"/>
                <w:sz w:val="28"/>
                <w:szCs w:val="28"/>
              </w:rPr>
              <w:t>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非强制性条文八条以上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责令停止使用，并处三万元以上</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lang w:eastAsia="zh-CN"/>
              </w:rPr>
              <w:t>九</w:t>
            </w:r>
            <w:r>
              <w:rPr>
                <w:rFonts w:hint="eastAsia" w:ascii="仿宋_GB2312" w:hAnsi="ˎ̥" w:eastAsia="仿宋_GB2312" w:cs="宋体"/>
                <w:kern w:val="0"/>
                <w:sz w:val="28"/>
                <w:szCs w:val="28"/>
              </w:rPr>
              <w:t>万元以下罚款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责令停止使用，并</w:t>
            </w:r>
            <w:r>
              <w:rPr>
                <w:rFonts w:hint="eastAsia" w:ascii="仿宋_GB2312" w:hAnsi="ˎ̥" w:eastAsia="仿宋_GB2312" w:cs="宋体"/>
                <w:color w:val="auto"/>
                <w:kern w:val="0"/>
                <w:sz w:val="28"/>
                <w:szCs w:val="28"/>
              </w:rPr>
              <w:t>处</w:t>
            </w:r>
            <w:r>
              <w:rPr>
                <w:rFonts w:hint="eastAsia" w:ascii="仿宋_GB2312" w:hAnsi="ˎ̥" w:eastAsia="仿宋_GB2312" w:cs="宋体"/>
                <w:color w:val="auto"/>
                <w:kern w:val="0"/>
                <w:sz w:val="28"/>
                <w:szCs w:val="28"/>
                <w:lang w:eastAsia="zh-CN"/>
              </w:rPr>
              <w:t>九</w:t>
            </w:r>
            <w:r>
              <w:rPr>
                <w:rFonts w:hint="eastAsia" w:ascii="仿宋_GB2312" w:hAnsi="ˎ̥" w:eastAsia="仿宋_GB2312" w:cs="宋体"/>
                <w:color w:val="auto"/>
                <w:kern w:val="0"/>
                <w:sz w:val="28"/>
                <w:szCs w:val="28"/>
              </w:rPr>
              <w:t>万元</w:t>
            </w:r>
            <w:r>
              <w:rPr>
                <w:rFonts w:hint="eastAsia" w:ascii="仿宋_GB2312" w:hAnsi="ˎ̥" w:eastAsia="仿宋_GB2312" w:cs="宋体"/>
                <w:kern w:val="0"/>
                <w:sz w:val="28"/>
                <w:szCs w:val="28"/>
              </w:rPr>
              <w:t>以上</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二十一万元以下罚款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责令停止使用，并处二十一万元以上三十万元以下罚款</w:t>
            </w:r>
          </w:p>
        </w:tc>
      </w:tr>
    </w:tbl>
    <w:p>
      <w:pPr>
        <w:rPr>
          <w:rFonts w:hint="eastAsia" w:ascii="仿宋_GB2312" w:hAnsi="ˎ̥" w:eastAsia="仿宋_GB2312" w:cs="宋体"/>
          <w:kern w:val="0"/>
          <w:sz w:val="32"/>
          <w:szCs w:val="32"/>
        </w:rPr>
      </w:pPr>
      <w:r>
        <w:rPr>
          <w:rFonts w:hint="eastAsia"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编号：003</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23"/>
        <w:gridCol w:w="4048"/>
        <w:gridCol w:w="4394"/>
        <w:gridCol w:w="43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建设单位未依法在验收后报住房和城乡建设主管部门备案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《中华人民共和国消防法》第五十八条第三款，建设单位未依照本法规定在验收后报住房和城乡建设主管部门备案的，由住房和城乡建设主管部门责令改正，处五千元以下罚款。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83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其他建设工程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从轻</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一般</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left"/>
              <w:rPr>
                <w:rFonts w:hint="default" w:ascii="仿宋_GB2312" w:hAnsi="ˎ̥" w:eastAsia="仿宋_GB2312" w:cs="宋体"/>
                <w:color w:val="auto"/>
                <w:kern w:val="0"/>
                <w:sz w:val="28"/>
                <w:szCs w:val="28"/>
                <w:lang w:val="en-US" w:eastAsia="zh-CN"/>
              </w:rPr>
            </w:pPr>
            <w:r>
              <w:rPr>
                <w:rFonts w:hint="eastAsia" w:ascii="仿宋_GB2312" w:hAnsi="ˎ̥" w:eastAsia="仿宋_GB2312" w:cs="宋体"/>
                <w:strike w:val="0"/>
                <w:dstrike w:val="0"/>
                <w:color w:val="auto"/>
                <w:kern w:val="0"/>
                <w:sz w:val="28"/>
                <w:szCs w:val="28"/>
                <w:lang w:val="en-US" w:eastAsia="zh-CN"/>
              </w:rPr>
              <w:t>逾期不超三个月未申报消防验收备案</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left"/>
              <w:rPr>
                <w:rFonts w:ascii="仿宋_GB2312" w:hAnsi="ˎ̥" w:eastAsia="仿宋_GB2312" w:cs="宋体"/>
                <w:strike w:val="0"/>
                <w:color w:val="auto"/>
                <w:kern w:val="0"/>
                <w:sz w:val="28"/>
                <w:szCs w:val="28"/>
              </w:rPr>
            </w:pPr>
            <w:r>
              <w:rPr>
                <w:rFonts w:hint="eastAsia" w:ascii="仿宋_GB2312" w:hAnsi="ˎ̥" w:eastAsia="仿宋_GB2312" w:cs="宋体"/>
                <w:strike w:val="0"/>
                <w:dstrike w:val="0"/>
                <w:color w:val="auto"/>
                <w:kern w:val="0"/>
                <w:sz w:val="28"/>
                <w:szCs w:val="28"/>
                <w:lang w:val="en-US" w:eastAsia="zh-CN"/>
              </w:rPr>
              <w:t>逾期三至六个月未申报消防验收备案</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left"/>
              <w:rPr>
                <w:rFonts w:hint="eastAsia" w:ascii="仿宋_GB2312" w:hAnsi="ˎ̥" w:eastAsia="仿宋_GB2312" w:cs="宋体"/>
                <w:strike w:val="0"/>
                <w:color w:val="auto"/>
                <w:kern w:val="0"/>
                <w:sz w:val="28"/>
                <w:szCs w:val="28"/>
                <w:lang w:val="en-US" w:eastAsia="zh-CN"/>
              </w:rPr>
            </w:pPr>
            <w:r>
              <w:rPr>
                <w:rFonts w:hint="eastAsia" w:ascii="仿宋_GB2312" w:hAnsi="ˎ̥" w:eastAsia="仿宋_GB2312" w:cs="宋体"/>
                <w:strike w:val="0"/>
                <w:dstrike w:val="0"/>
                <w:color w:val="auto"/>
                <w:kern w:val="0"/>
                <w:sz w:val="28"/>
                <w:szCs w:val="28"/>
                <w:lang w:val="en-US" w:eastAsia="zh-CN"/>
              </w:rPr>
              <w:t>逾期六个月以上未申报消防验收备案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2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04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处一千五百元以下</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处一千五百元以上三千五百元以下罚款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处三千五百元以上五千元以下罚款</w:t>
            </w:r>
          </w:p>
        </w:tc>
      </w:tr>
    </w:tbl>
    <w:p>
      <w:pPr>
        <w:rPr>
          <w:rFonts w:hint="eastAsia" w:ascii="仿宋_GB2312" w:hAnsi="ˎ̥" w:eastAsia="仿宋_GB2312" w:cs="宋体"/>
          <w:kern w:val="0"/>
          <w:sz w:val="32"/>
          <w:szCs w:val="32"/>
        </w:rPr>
      </w:pPr>
      <w:r>
        <w:rPr>
          <w:rFonts w:hint="eastAsia"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编号：004</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53"/>
        <w:gridCol w:w="4184"/>
        <w:gridCol w:w="4338"/>
        <w:gridCol w:w="4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80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建设单位要求建筑设计单位或者建筑施工企业降低消防技术标准设计、施工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80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《中华人民共和国消防法》第五十九条第一项，违反本法规定，有下列行为之一的，由住房和城乡建设主管部门责令改正或者停止施工，并处一万元以上十万元以下罚款：</w:t>
            </w:r>
          </w:p>
          <w:p>
            <w:pPr>
              <w:overflowPunct w:val="0"/>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（一）建设单位要求建筑设计单位或者建筑施工企业降低消防技术标准设计、施工的</w:t>
            </w:r>
            <w:r>
              <w:rPr>
                <w:rFonts w:hint="eastAsia" w:ascii="仿宋_GB2312" w:hAnsi="ˎ̥" w:eastAsia="仿宋_GB2312" w:cs="宋体"/>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80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按照国家工程建设消防技术标准需要进行消防设计的建设工程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18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从轻</w:t>
            </w:r>
          </w:p>
        </w:tc>
        <w:tc>
          <w:tcPr>
            <w:tcW w:w="4338"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一般</w:t>
            </w:r>
          </w:p>
        </w:tc>
        <w:tc>
          <w:tcPr>
            <w:tcW w:w="428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184" w:type="dxa"/>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lang w:val="en-US" w:eastAsia="zh-CN"/>
              </w:rPr>
              <w:t>违反</w:t>
            </w:r>
            <w:r>
              <w:rPr>
                <w:rFonts w:hint="eastAsia" w:ascii="仿宋_GB2312" w:hAnsi="ˎ̥" w:eastAsia="仿宋_GB2312" w:cs="宋体"/>
                <w:color w:val="auto"/>
                <w:kern w:val="0"/>
                <w:sz w:val="28"/>
                <w:szCs w:val="28"/>
              </w:rPr>
              <w:t>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非强制性条文四条以下且未违反国家工程建设消防技术标准强制性条文</w:t>
            </w:r>
          </w:p>
        </w:tc>
        <w:tc>
          <w:tcPr>
            <w:tcW w:w="4338" w:type="dxa"/>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违反国家工程建设消防技术标准强制性条文一条，或者违反国家工程建设消防技术标准中带有“严禁”“必须”“应”“不应”“不得”要求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非强制性条文四条以上八条以下</w:t>
            </w:r>
          </w:p>
        </w:tc>
        <w:tc>
          <w:tcPr>
            <w:tcW w:w="4284" w:type="dxa"/>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违反国家工程建设消防技术标准强制性条文二条以上，或者违反国家工程建设消防技术标准中带有“严禁”“必须”“应”“不应”“不得”要求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非强制性条文八条以上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53" w:type="dxa"/>
            <w:tcBorders>
              <w:top w:val="single" w:color="auto" w:sz="4" w:space="0"/>
              <w:left w:val="single" w:color="auto" w:sz="4" w:space="0"/>
              <w:bottom w:val="single" w:color="auto" w:sz="4"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184" w:type="dxa"/>
            <w:tcBorders>
              <w:top w:val="single" w:color="auto" w:sz="4" w:space="0"/>
              <w:left w:val="outset" w:color="auto" w:sz="6" w:space="0"/>
              <w:bottom w:val="single" w:color="auto" w:sz="4" w:space="0"/>
              <w:right w:val="outset" w:color="auto" w:sz="6" w:space="0"/>
            </w:tcBorders>
            <w:vAlign w:val="center"/>
          </w:tcPr>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责令改正或停止施工，并处一万元</w:t>
            </w:r>
          </w:p>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以</w:t>
            </w:r>
            <w:r>
              <w:rPr>
                <w:rFonts w:hint="eastAsia" w:ascii="仿宋_GB2312" w:hAnsi="ˎ̥" w:eastAsia="仿宋_GB2312" w:cs="宋体"/>
                <w:color w:val="auto"/>
                <w:kern w:val="0"/>
                <w:sz w:val="28"/>
                <w:szCs w:val="28"/>
              </w:rPr>
              <w:t>上</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万元以下罚款</w:t>
            </w:r>
          </w:p>
        </w:tc>
        <w:tc>
          <w:tcPr>
            <w:tcW w:w="4338" w:type="dxa"/>
            <w:tcBorders>
              <w:top w:val="single" w:color="auto" w:sz="4" w:space="0"/>
              <w:left w:val="outset" w:color="auto" w:sz="6" w:space="0"/>
              <w:bottom w:val="single" w:color="auto" w:sz="4" w:space="0"/>
              <w:right w:val="outset" w:color="auto" w:sz="6" w:space="0"/>
            </w:tcBorders>
            <w:vAlign w:val="center"/>
          </w:tcPr>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w:t>
            </w:r>
            <w:r>
              <w:rPr>
                <w:rFonts w:hint="eastAsia" w:ascii="仿宋_GB2312" w:hAnsi="ˎ̥" w:eastAsia="仿宋_GB2312" w:cs="宋体"/>
                <w:color w:val="auto"/>
                <w:kern w:val="0"/>
                <w:sz w:val="28"/>
                <w:szCs w:val="28"/>
              </w:rPr>
              <w:t>工，并处</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万元以上七万元以下罚款</w:t>
            </w:r>
          </w:p>
        </w:tc>
        <w:tc>
          <w:tcPr>
            <w:tcW w:w="4284" w:type="dxa"/>
            <w:tcBorders>
              <w:top w:val="single" w:color="auto" w:sz="4" w:space="0"/>
              <w:left w:val="outset" w:color="auto" w:sz="6" w:space="0"/>
              <w:bottom w:val="single" w:color="auto" w:sz="4" w:space="0"/>
              <w:right w:val="single" w:color="auto" w:sz="4" w:space="0"/>
            </w:tcBorders>
            <w:vAlign w:val="center"/>
          </w:tcPr>
          <w:p>
            <w:pPr>
              <w:overflowPunct w:val="0"/>
              <w:spacing w:line="48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责令改正或停止施工，并处七万元以上十万元以下罚款</w:t>
            </w:r>
          </w:p>
        </w:tc>
      </w:tr>
    </w:tbl>
    <w:p>
      <w:pPr>
        <w:rPr>
          <w:rFonts w:ascii="仿宋_GB2312" w:hAnsi="ˎ̥" w:eastAsia="仿宋_GB2312" w:cs="宋体"/>
          <w:kern w:val="0"/>
          <w:sz w:val="32"/>
          <w:szCs w:val="32"/>
        </w:rPr>
      </w:pPr>
      <w:r>
        <w:rPr>
          <w:rFonts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编号：005</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8"/>
        <w:gridCol w:w="4003"/>
        <w:gridCol w:w="4394"/>
        <w:gridCol w:w="43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791"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建筑设计单位不按照消防技术标准强制性要求进行消防设计的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791"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《中华人民共和国消防法》第五十九条第二项，违反本法规定，有下列行为之一的，由住房和城乡建设主管部门责令改正或者停止</w:t>
            </w:r>
            <w:r>
              <w:rPr>
                <w:rFonts w:hint="eastAsia" w:ascii="仿宋_GB2312" w:hAnsi="ˎ̥" w:eastAsia="仿宋_GB2312" w:cs="宋体"/>
                <w:color w:val="auto"/>
                <w:kern w:val="0"/>
                <w:sz w:val="28"/>
                <w:szCs w:val="28"/>
              </w:rPr>
              <w:t>施工，并处一万</w:t>
            </w:r>
            <w:r>
              <w:rPr>
                <w:rFonts w:hint="eastAsia" w:ascii="仿宋_GB2312" w:hAnsi="ˎ̥" w:eastAsia="仿宋_GB2312" w:cs="宋体"/>
                <w:kern w:val="0"/>
                <w:sz w:val="28"/>
                <w:szCs w:val="28"/>
              </w:rPr>
              <w:t>元以上十万元以下罚款：</w:t>
            </w:r>
          </w:p>
          <w:p>
            <w:pPr>
              <w:overflowPunct w:val="0"/>
              <w:spacing w:line="50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（二）建筑设计单位不按照消防技术标准强制性要求进行消防设计的</w:t>
            </w:r>
            <w:r>
              <w:rPr>
                <w:rFonts w:hint="eastAsia" w:ascii="仿宋_GB2312" w:hAnsi="ˎ̥" w:eastAsia="仿宋_GB2312" w:cs="宋体"/>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791"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按照国家工程建设消防技术标准需要进行消防设计的建设工程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003"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从轻</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一般</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003"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违反国家工程建设消防技术标准强制性条文一条</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违反国家工程建设消防技术标准强制性条文二条</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违反国家工程建设消防技术标准强制性条文三条以上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6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00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w:t>
            </w:r>
            <w:r>
              <w:rPr>
                <w:rFonts w:hint="eastAsia" w:ascii="仿宋_GB2312" w:hAnsi="ˎ̥" w:eastAsia="仿宋_GB2312" w:cs="宋体"/>
                <w:color w:val="auto"/>
                <w:kern w:val="0"/>
                <w:sz w:val="28"/>
                <w:szCs w:val="28"/>
              </w:rPr>
              <w:t>或停止施工，并处一万元以上</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w:t>
            </w:r>
            <w:r>
              <w:rPr>
                <w:rFonts w:hint="eastAsia" w:ascii="仿宋_GB2312" w:hAnsi="ˎ̥" w:eastAsia="仿宋_GB2312" w:cs="宋体"/>
                <w:kern w:val="0"/>
                <w:sz w:val="28"/>
                <w:szCs w:val="28"/>
              </w:rPr>
              <w:t>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color w:val="auto"/>
                <w:kern w:val="0"/>
                <w:sz w:val="28"/>
                <w:szCs w:val="28"/>
              </w:rPr>
            </w:pPr>
            <w:r>
              <w:rPr>
                <w:rFonts w:hint="eastAsia" w:ascii="仿宋_GB2312" w:hAnsi="ˎ̥" w:eastAsia="仿宋_GB2312" w:cs="宋体"/>
                <w:kern w:val="0"/>
                <w:sz w:val="28"/>
                <w:szCs w:val="28"/>
              </w:rPr>
              <w:t>责令改正或停止施工</w:t>
            </w:r>
            <w:r>
              <w:rPr>
                <w:rFonts w:hint="eastAsia" w:ascii="仿宋_GB2312" w:hAnsi="ˎ̥" w:eastAsia="仿宋_GB2312" w:cs="宋体"/>
                <w:color w:val="auto"/>
                <w:kern w:val="0"/>
                <w:sz w:val="28"/>
                <w:szCs w:val="28"/>
              </w:rPr>
              <w:t>，并处</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color w:val="auto"/>
                <w:kern w:val="0"/>
                <w:sz w:val="28"/>
                <w:szCs w:val="28"/>
              </w:rPr>
              <w:t>以上七万元以下罚款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责令改正或停止施工，并处七万元</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以上十万元以下罚款</w:t>
            </w:r>
          </w:p>
        </w:tc>
      </w:tr>
    </w:tbl>
    <w:p>
      <w:pPr>
        <w:rPr>
          <w:rFonts w:ascii="仿宋_GB2312" w:hAnsi="ˎ̥" w:eastAsia="仿宋_GB2312" w:cs="宋体"/>
          <w:kern w:val="0"/>
          <w:sz w:val="32"/>
          <w:szCs w:val="32"/>
        </w:rPr>
      </w:pPr>
      <w:r>
        <w:rPr>
          <w:rFonts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编号：006</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83"/>
        <w:gridCol w:w="4164"/>
        <w:gridCol w:w="4218"/>
        <w:gridCol w:w="43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77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建筑施工企业不按照消防设计文件和消防技术标准施工，降低消防施工质量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776" w:type="dxa"/>
            <w:gridSpan w:val="3"/>
            <w:tcBorders>
              <w:top w:val="outset" w:color="auto" w:sz="6" w:space="0"/>
              <w:left w:val="outset" w:color="auto" w:sz="6" w:space="0"/>
              <w:bottom w:val="outset" w:color="auto" w:sz="6" w:space="0"/>
              <w:right w:val="outset" w:color="auto" w:sz="6" w:space="0"/>
            </w:tcBorders>
            <w:vAlign w:val="center"/>
          </w:tcPr>
          <w:p>
            <w:pPr>
              <w:widowControl w:val="0"/>
              <w:wordWrap/>
              <w:overflowPunct w:val="0"/>
              <w:adjustRightInd/>
              <w:snapToGrid/>
              <w:spacing w:line="380" w:lineRule="exact"/>
              <w:ind w:firstLine="560" w:firstLineChars="200"/>
              <w:jc w:val="left"/>
              <w:textAlignment w:val="auto"/>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《中华人民共和国消防法》第五十九条第三项，违反本法规定，有下列行为之一的，由住房和城乡建设主管部门责令改正或者停止施工，并处一万元以上十万元以下罚款：</w:t>
            </w:r>
          </w:p>
          <w:p>
            <w:pPr>
              <w:widowControl w:val="0"/>
              <w:wordWrap/>
              <w:overflowPunct w:val="0"/>
              <w:adjustRightInd/>
              <w:snapToGrid/>
              <w:spacing w:line="380" w:lineRule="exact"/>
              <w:ind w:firstLine="560" w:firstLineChars="200"/>
              <w:jc w:val="left"/>
              <w:textAlignment w:val="auto"/>
              <w:rPr>
                <w:rFonts w:ascii="仿宋_GB2312" w:hAnsi="ˎ̥" w:eastAsia="仿宋_GB2312" w:cs="宋体"/>
                <w:kern w:val="0"/>
                <w:sz w:val="28"/>
                <w:szCs w:val="28"/>
              </w:rPr>
            </w:pPr>
            <w:r>
              <w:rPr>
                <w:rFonts w:hint="eastAsia" w:ascii="仿宋_GB2312" w:hAnsi="ˎ̥" w:eastAsia="仿宋_GB2312" w:cs="宋体"/>
                <w:kern w:val="0"/>
                <w:sz w:val="28"/>
                <w:szCs w:val="28"/>
              </w:rPr>
              <w:t>（三）建筑施工企业不按照消防设计文件和消防技术标准施工，降低消防施工质量的</w:t>
            </w:r>
            <w:r>
              <w:rPr>
                <w:rFonts w:hint="eastAsia" w:ascii="仿宋_GB2312" w:hAnsi="ˎ̥" w:eastAsia="仿宋_GB2312" w:cs="宋体"/>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77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4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按照国家工程建设消防技术标准需要进行消防设计的建设工程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16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从轻</w:t>
            </w:r>
          </w:p>
        </w:tc>
        <w:tc>
          <w:tcPr>
            <w:tcW w:w="4218"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一般</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黑体" w:hAnsi="黑体" w:eastAsia="黑体"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164"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不按照消防设计文件施工，违反国家工程建设消防技术标准中带有“严禁”“必须”“应”“不应”“不得”要求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非强制性条文四条以下且未违反国家工程建设消防技术标准强制性条文</w:t>
            </w:r>
          </w:p>
        </w:tc>
        <w:tc>
          <w:tcPr>
            <w:tcW w:w="4218"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不按照消防设计文件施工，违反国家工程建设消防技术标准中带有“严禁”“必须”“应”“不应”“不得”要求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非强制性条文四条以上八条以下，或者违反国家工程建设消防技术标准强制性条文一条</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不按照消防设计文件施工，违反国家工程建设消防技术标准中带有“严禁”“必须”“应”“不应”“不得”要求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非强制性条文八条以上，或者违反国家工程建设消防技术标准强制性条文二条以上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683" w:type="dxa"/>
            <w:tcBorders>
              <w:top w:val="outset" w:color="auto" w:sz="6" w:space="0"/>
              <w:left w:val="outset" w:color="auto" w:sz="6" w:space="0"/>
              <w:bottom w:val="outset" w:color="auto" w:sz="6" w:space="0"/>
              <w:right w:val="outset" w:color="auto" w:sz="6" w:space="0"/>
            </w:tcBorders>
            <w:vAlign w:val="center"/>
          </w:tcPr>
          <w:p>
            <w:pPr>
              <w:overflowPunct w:val="0"/>
              <w:spacing w:line="48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16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color w:val="auto"/>
                <w:kern w:val="0"/>
                <w:sz w:val="28"/>
                <w:szCs w:val="28"/>
              </w:rPr>
            </w:pPr>
            <w:r>
              <w:rPr>
                <w:rFonts w:hint="eastAsia" w:ascii="仿宋_GB2312" w:hAnsi="ˎ̥" w:eastAsia="仿宋_GB2312" w:cs="宋体"/>
                <w:kern w:val="0"/>
                <w:sz w:val="28"/>
                <w:szCs w:val="28"/>
              </w:rPr>
              <w:t>责令改正</w:t>
            </w:r>
            <w:r>
              <w:rPr>
                <w:rFonts w:hint="eastAsia" w:ascii="仿宋_GB2312" w:hAnsi="ˎ̥" w:eastAsia="仿宋_GB2312" w:cs="宋体"/>
                <w:color w:val="auto"/>
                <w:kern w:val="0"/>
                <w:sz w:val="28"/>
                <w:szCs w:val="28"/>
              </w:rPr>
              <w:t>或停止施工，并处一万元</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color w:val="auto"/>
                <w:kern w:val="0"/>
                <w:sz w:val="28"/>
                <w:szCs w:val="28"/>
              </w:rPr>
              <w:t>以上</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w:t>
            </w:r>
            <w:r>
              <w:rPr>
                <w:rFonts w:hint="eastAsia" w:ascii="仿宋_GB2312" w:hAnsi="ˎ̥" w:eastAsia="仿宋_GB2312" w:cs="宋体"/>
                <w:kern w:val="0"/>
                <w:sz w:val="28"/>
                <w:szCs w:val="28"/>
              </w:rPr>
              <w:t>以下罚款</w:t>
            </w:r>
          </w:p>
        </w:tc>
        <w:tc>
          <w:tcPr>
            <w:tcW w:w="4218"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w:t>
            </w:r>
            <w:r>
              <w:rPr>
                <w:rFonts w:hint="eastAsia" w:ascii="仿宋_GB2312" w:hAnsi="ˎ̥" w:eastAsia="仿宋_GB2312" w:cs="宋体"/>
                <w:color w:val="auto"/>
                <w:kern w:val="0"/>
                <w:sz w:val="28"/>
                <w:szCs w:val="28"/>
              </w:rPr>
              <w:t>并处</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万元以上七万元以下罚款</w:t>
            </w:r>
          </w:p>
        </w:tc>
        <w:tc>
          <w:tcPr>
            <w:tcW w:w="4394"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责令改正或停止施工，并处七万元</w:t>
            </w:r>
          </w:p>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以上十万元以下罚款</w:t>
            </w:r>
          </w:p>
        </w:tc>
      </w:tr>
    </w:tbl>
    <w:p>
      <w:pPr>
        <w:rPr>
          <w:rFonts w:hint="eastAsia" w:ascii="仿宋_GB2312" w:hAnsi="ˎ̥" w:eastAsia="仿宋_GB2312" w:cs="宋体"/>
          <w:kern w:val="0"/>
          <w:sz w:val="32"/>
          <w:szCs w:val="32"/>
        </w:rPr>
      </w:pPr>
      <w:r>
        <w:rPr>
          <w:rFonts w:hint="eastAsia" w:ascii="仿宋_GB2312" w:hAnsi="ˎ̥" w:eastAsia="仿宋_GB2312" w:cs="宋体"/>
          <w:kern w:val="0"/>
          <w:sz w:val="32"/>
          <w:szCs w:val="32"/>
        </w:rPr>
        <w:br w:type="page"/>
      </w:r>
    </w:p>
    <w:p>
      <w:pPr>
        <w:overflowPunct w:val="0"/>
        <w:spacing w:line="560" w:lineRule="exact"/>
        <w:jc w:val="left"/>
        <w:rPr>
          <w:rFonts w:ascii="仿宋_GB2312" w:hAnsi="ˎ̥" w:eastAsia="仿宋_GB2312" w:cs="宋体"/>
          <w:kern w:val="0"/>
          <w:sz w:val="32"/>
          <w:szCs w:val="32"/>
        </w:rPr>
      </w:pPr>
      <w:r>
        <w:rPr>
          <w:rFonts w:hint="eastAsia" w:ascii="仿宋_GB2312" w:hAnsi="ˎ̥" w:eastAsia="仿宋_GB2312" w:cs="宋体"/>
          <w:kern w:val="0"/>
          <w:sz w:val="32"/>
          <w:szCs w:val="32"/>
        </w:rPr>
        <w:t>编号：007</w:t>
      </w:r>
    </w:p>
    <w:tbl>
      <w:tblPr>
        <w:tblStyle w:val="5"/>
        <w:tblW w:w="14459" w:type="dxa"/>
        <w:tblCellSpacing w:w="0"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13"/>
        <w:gridCol w:w="4052"/>
        <w:gridCol w:w="4347"/>
        <w:gridCol w:w="43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违法行为</w:t>
            </w:r>
          </w:p>
        </w:tc>
        <w:tc>
          <w:tcPr>
            <w:tcW w:w="1274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工程监理单位与建设单位或者建筑施工企业串通，弄虚作假，降低消防施工质量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法律依据</w:t>
            </w:r>
          </w:p>
        </w:tc>
        <w:tc>
          <w:tcPr>
            <w:tcW w:w="1274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《中华人民共和国消防法》第五十九条第四项，违反本法规定，有下列行为之一的，由住房和城乡建设主管部门责令改正或者停止施工，并处一万元以上十万元以下罚款：</w:t>
            </w:r>
          </w:p>
          <w:p>
            <w:pPr>
              <w:overflowPunct w:val="0"/>
              <w:spacing w:line="52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（四）工程监理单位与建设单位或者建筑施工企业串通，弄虚作假，降低消防施工质量的。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适用范围</w:t>
            </w:r>
          </w:p>
        </w:tc>
        <w:tc>
          <w:tcPr>
            <w:tcW w:w="12746" w:type="dxa"/>
            <w:gridSpan w:val="3"/>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按照国家工程建设消防技术标准需要进行消防设计的建设工程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裁量档次</w:t>
            </w:r>
          </w:p>
        </w:tc>
        <w:tc>
          <w:tcPr>
            <w:tcW w:w="4052"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黑体" w:hAnsi="黑体" w:eastAsia="黑体" w:cs="宋体"/>
                <w:kern w:val="0"/>
                <w:sz w:val="28"/>
                <w:szCs w:val="28"/>
                <w:lang w:eastAsia="zh-CN"/>
              </w:rPr>
              <w:t>从轻</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黑体" w:hAnsi="黑体" w:eastAsia="黑体" w:cs="宋体"/>
                <w:kern w:val="0"/>
                <w:sz w:val="28"/>
                <w:szCs w:val="28"/>
              </w:rPr>
              <w:t>一般</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400" w:lineRule="exact"/>
              <w:jc w:val="center"/>
              <w:rPr>
                <w:rFonts w:ascii="仿宋_GB2312" w:hAnsi="ˎ̥" w:eastAsia="仿宋_GB2312" w:cs="宋体"/>
                <w:kern w:val="0"/>
                <w:sz w:val="28"/>
                <w:szCs w:val="28"/>
              </w:rPr>
            </w:pPr>
            <w:r>
              <w:rPr>
                <w:rFonts w:hint="eastAsia" w:ascii="黑体" w:hAnsi="黑体" w:eastAsia="黑体" w:cs="宋体"/>
                <w:kern w:val="0"/>
                <w:sz w:val="28"/>
                <w:szCs w:val="28"/>
                <w:lang w:eastAsia="zh-CN"/>
              </w:rPr>
              <w:t>从重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违法情节</w:t>
            </w:r>
          </w:p>
        </w:tc>
        <w:tc>
          <w:tcPr>
            <w:tcW w:w="4052"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w:t>
            </w:r>
            <w:r>
              <w:rPr>
                <w:rFonts w:hint="eastAsia" w:ascii="仿宋_GB2312" w:hAnsi="ˎ̥" w:eastAsia="仿宋_GB2312" w:cs="宋体"/>
                <w:color w:val="auto"/>
                <w:kern w:val="0"/>
                <w:sz w:val="28"/>
                <w:szCs w:val="28"/>
                <w:lang w:val="en-US" w:eastAsia="zh-CN"/>
              </w:rPr>
              <w:t>中</w:t>
            </w:r>
            <w:r>
              <w:rPr>
                <w:rFonts w:hint="eastAsia" w:ascii="仿宋_GB2312" w:hAnsi="ˎ̥" w:eastAsia="仿宋_GB2312" w:cs="宋体"/>
                <w:color w:val="auto"/>
                <w:kern w:val="0"/>
                <w:sz w:val="28"/>
                <w:szCs w:val="28"/>
              </w:rPr>
              <w:t>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非强制性条文四条以下</w:t>
            </w:r>
            <w:r>
              <w:rPr>
                <w:rFonts w:hint="eastAsia" w:ascii="仿宋_GB2312" w:hAnsi="ˎ̥" w:eastAsia="仿宋_GB2312" w:cs="宋体"/>
                <w:color w:val="auto"/>
                <w:kern w:val="0"/>
                <w:sz w:val="28"/>
                <w:szCs w:val="28"/>
                <w:lang w:eastAsia="zh-CN"/>
              </w:rPr>
              <w:t>，</w:t>
            </w:r>
            <w:r>
              <w:rPr>
                <w:rFonts w:hint="eastAsia" w:ascii="仿宋_GB2312" w:hAnsi="ˎ̥" w:eastAsia="仿宋_GB2312" w:cs="宋体"/>
                <w:color w:val="auto"/>
                <w:kern w:val="0"/>
                <w:sz w:val="28"/>
                <w:szCs w:val="28"/>
                <w:lang w:val="en-US" w:eastAsia="zh-CN"/>
              </w:rPr>
              <w:t>且</w:t>
            </w:r>
            <w:r>
              <w:rPr>
                <w:rFonts w:hint="eastAsia" w:ascii="仿宋_GB2312" w:hAnsi="ˎ̥" w:eastAsia="仿宋_GB2312" w:cs="宋体"/>
                <w:color w:val="auto"/>
                <w:kern w:val="0"/>
                <w:sz w:val="28"/>
                <w:szCs w:val="28"/>
              </w:rPr>
              <w:t>未违反国家工程建设消防技术标准强制性条文</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违反国家工程建设消防技术标准强制性条文一条，或者违反国家工程建设消防技术标准</w:t>
            </w:r>
            <w:r>
              <w:rPr>
                <w:rFonts w:hint="eastAsia" w:ascii="仿宋_GB2312" w:hAnsi="ˎ̥" w:eastAsia="仿宋_GB2312" w:cs="宋体"/>
                <w:color w:val="auto"/>
                <w:kern w:val="0"/>
                <w:sz w:val="28"/>
                <w:szCs w:val="28"/>
                <w:lang w:val="en-US" w:eastAsia="zh-CN"/>
              </w:rPr>
              <w:t>中</w:t>
            </w:r>
            <w:r>
              <w:rPr>
                <w:rFonts w:hint="eastAsia" w:ascii="仿宋_GB2312" w:hAnsi="ˎ̥" w:eastAsia="仿宋_GB2312" w:cs="宋体"/>
                <w:color w:val="auto"/>
                <w:kern w:val="0"/>
                <w:sz w:val="28"/>
                <w:szCs w:val="28"/>
              </w:rPr>
              <w:t>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非强制性条文四条以上八条以下</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500" w:lineRule="exact"/>
              <w:jc w:val="left"/>
              <w:rPr>
                <w:rFonts w:ascii="仿宋_GB2312" w:hAnsi="ˎ̥" w:eastAsia="仿宋_GB2312" w:cs="宋体"/>
                <w:color w:val="auto"/>
                <w:kern w:val="0"/>
                <w:sz w:val="28"/>
                <w:szCs w:val="28"/>
              </w:rPr>
            </w:pPr>
            <w:r>
              <w:rPr>
                <w:rFonts w:hint="eastAsia" w:ascii="仿宋_GB2312" w:hAnsi="ˎ̥" w:eastAsia="仿宋_GB2312" w:cs="宋体"/>
                <w:color w:val="auto"/>
                <w:kern w:val="0"/>
                <w:sz w:val="28"/>
                <w:szCs w:val="28"/>
              </w:rPr>
              <w:t>违反国家工程建设消防技术标准强制性条文二条以上，或者违反国家工程建设消防技术标准中带有“严禁”“必须”“应”“不应”“不得”要求</w:t>
            </w:r>
            <w:r>
              <w:rPr>
                <w:rFonts w:hint="eastAsia" w:ascii="仿宋_GB2312" w:hAnsi="ˎ̥" w:eastAsia="仿宋_GB2312" w:cs="宋体"/>
                <w:color w:val="auto"/>
                <w:kern w:val="0"/>
                <w:sz w:val="28"/>
                <w:szCs w:val="28"/>
                <w:lang w:val="en-US" w:eastAsia="zh-CN"/>
              </w:rPr>
              <w:t>的</w:t>
            </w:r>
            <w:r>
              <w:rPr>
                <w:rFonts w:hint="eastAsia" w:ascii="仿宋_GB2312" w:hAnsi="ˎ̥" w:eastAsia="仿宋_GB2312" w:cs="宋体"/>
                <w:color w:val="auto"/>
                <w:kern w:val="0"/>
                <w:sz w:val="28"/>
                <w:szCs w:val="28"/>
              </w:rPr>
              <w:t>非强制性条文八条以上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3"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处罚标准</w:t>
            </w:r>
          </w:p>
        </w:tc>
        <w:tc>
          <w:tcPr>
            <w:tcW w:w="4052"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w:t>
            </w:r>
            <w:r>
              <w:rPr>
                <w:rFonts w:hint="eastAsia" w:ascii="仿宋_GB2312" w:hAnsi="ˎ̥" w:eastAsia="仿宋_GB2312" w:cs="宋体"/>
                <w:color w:val="auto"/>
                <w:kern w:val="0"/>
                <w:sz w:val="28"/>
                <w:szCs w:val="28"/>
              </w:rPr>
              <w:t>正或停止施工，并处一万元以上</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w:t>
            </w:r>
            <w:r>
              <w:rPr>
                <w:rFonts w:hint="eastAsia" w:ascii="仿宋_GB2312" w:hAnsi="ˎ̥" w:eastAsia="仿宋_GB2312" w:cs="宋体"/>
                <w:kern w:val="0"/>
                <w:sz w:val="28"/>
                <w:szCs w:val="28"/>
              </w:rPr>
              <w:t>下罚款</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w:t>
            </w:r>
            <w:r>
              <w:rPr>
                <w:rFonts w:hint="eastAsia" w:ascii="仿宋_GB2312" w:hAnsi="ˎ̥" w:eastAsia="仿宋_GB2312" w:cs="宋体"/>
                <w:color w:val="auto"/>
                <w:kern w:val="0"/>
                <w:sz w:val="28"/>
                <w:szCs w:val="28"/>
              </w:rPr>
              <w:t>工，并处</w:t>
            </w:r>
            <w:r>
              <w:rPr>
                <w:rFonts w:hint="eastAsia" w:ascii="仿宋_GB2312" w:hAnsi="ˎ̥" w:eastAsia="仿宋_GB2312" w:cs="宋体"/>
                <w:color w:val="auto"/>
                <w:kern w:val="0"/>
                <w:sz w:val="28"/>
                <w:szCs w:val="28"/>
                <w:lang w:eastAsia="zh-CN"/>
              </w:rPr>
              <w:t>三</w:t>
            </w:r>
            <w:r>
              <w:rPr>
                <w:rFonts w:hint="eastAsia" w:ascii="仿宋_GB2312" w:hAnsi="ˎ̥" w:eastAsia="仿宋_GB2312" w:cs="宋体"/>
                <w:color w:val="auto"/>
                <w:kern w:val="0"/>
                <w:sz w:val="28"/>
                <w:szCs w:val="28"/>
              </w:rPr>
              <w:t>万元以上七万元以下罚款</w:t>
            </w:r>
          </w:p>
        </w:tc>
        <w:tc>
          <w:tcPr>
            <w:tcW w:w="4347" w:type="dxa"/>
            <w:tcBorders>
              <w:top w:val="outset" w:color="auto" w:sz="6" w:space="0"/>
              <w:left w:val="outset" w:color="auto" w:sz="6" w:space="0"/>
              <w:bottom w:val="outset" w:color="auto" w:sz="6" w:space="0"/>
              <w:right w:val="outset" w:color="auto" w:sz="6" w:space="0"/>
            </w:tcBorders>
            <w:vAlign w:val="center"/>
          </w:tcPr>
          <w:p>
            <w:pPr>
              <w:overflowPunct w:val="0"/>
              <w:spacing w:line="560" w:lineRule="exact"/>
              <w:jc w:val="center"/>
              <w:rPr>
                <w:rFonts w:ascii="仿宋_GB2312" w:hAnsi="ˎ̥" w:eastAsia="仿宋_GB2312" w:cs="宋体"/>
                <w:kern w:val="0"/>
                <w:sz w:val="28"/>
                <w:szCs w:val="28"/>
              </w:rPr>
            </w:pPr>
            <w:r>
              <w:rPr>
                <w:rFonts w:hint="eastAsia" w:ascii="仿宋_GB2312" w:hAnsi="ˎ̥" w:eastAsia="仿宋_GB2312" w:cs="宋体"/>
                <w:kern w:val="0"/>
                <w:sz w:val="28"/>
                <w:szCs w:val="28"/>
              </w:rPr>
              <w:t>责令改正或停止施工，并处七万元以上十万元以下罚款</w:t>
            </w:r>
          </w:p>
        </w:tc>
      </w:tr>
    </w:tbl>
    <w:p>
      <w:pPr>
        <w:pStyle w:val="3"/>
        <w:widowControl w:val="0"/>
        <w:wordWrap/>
        <w:adjustRightInd/>
        <w:snapToGrid/>
        <w:spacing w:line="20" w:lineRule="exact"/>
        <w:textAlignment w:val="auto"/>
        <w:rPr>
          <w:rFonts w:hint="eastAsia" w:ascii="仿宋_GB2312" w:hAnsi="宋体" w:eastAsia="仿宋_GB2312" w:cs="宋体"/>
          <w:color w:val="000000"/>
          <w:kern w:val="0"/>
          <w:sz w:val="10"/>
          <w:szCs w:val="10"/>
        </w:rPr>
        <w:sectPr>
          <w:pgSz w:w="16838" w:h="11906" w:orient="landscape"/>
          <w:pgMar w:top="1689" w:right="1440" w:bottom="1689" w:left="1440" w:header="851" w:footer="992" w:gutter="0"/>
          <w:cols w:space="720" w:num="1"/>
          <w:rtlGutter w:val="0"/>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31DFAC-2971-43E1-9756-D7C56002F6CC}"/>
  </w:font>
  <w:font w:name="黑体">
    <w:panose1 w:val="02010609060101010101"/>
    <w:charset w:val="86"/>
    <w:family w:val="auto"/>
    <w:pitch w:val="default"/>
    <w:sig w:usb0="800002BF" w:usb1="38CF7CFA" w:usb2="00000016" w:usb3="00000000" w:csb0="00040001" w:csb1="00000000"/>
    <w:embedRegular r:id="rId2" w:fontKey="{711F858B-9BB6-42C3-9238-74E288B7BC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9253789B-6522-48B1-A573-A2D088B8CA42}"/>
  </w:font>
  <w:font w:name="方正小标宋简体">
    <w:panose1 w:val="02000000000000000000"/>
    <w:charset w:val="86"/>
    <w:family w:val="auto"/>
    <w:pitch w:val="default"/>
    <w:sig w:usb0="00000001" w:usb1="08000000" w:usb2="00000000" w:usb3="00000000" w:csb0="00040000" w:csb1="00000000"/>
    <w:embedRegular r:id="rId4" w:fontKey="{26040A4E-3B28-466D-9DF0-CCCD29CAEFA6}"/>
  </w:font>
  <w:font w:name="仿宋">
    <w:panose1 w:val="02010609060101010101"/>
    <w:charset w:val="86"/>
    <w:family w:val="auto"/>
    <w:pitch w:val="default"/>
    <w:sig w:usb0="800002BF" w:usb1="38CF7CFA" w:usb2="00000016" w:usb3="00000000" w:csb0="00040001" w:csb1="00000000"/>
    <w:embedRegular r:id="rId5" w:fontKey="{CCE21046-4359-439D-8A0A-F9A0790DA43A}"/>
  </w:font>
  <w:font w:name="CESI楷体-GB2312">
    <w:altName w:val="宋体"/>
    <w:panose1 w:val="02000500000000000000"/>
    <w:charset w:val="86"/>
    <w:family w:val="auto"/>
    <w:pitch w:val="default"/>
    <w:sig w:usb0="00000000" w:usb1="00000000" w:usb2="00000012" w:usb3="00000000" w:csb0="0004000F" w:csb1="00000000"/>
    <w:embedRegular r:id="rId6" w:fontKey="{D1B6C294-FCDC-43F7-8D77-D1211D5EDD94}"/>
  </w:font>
  <w:font w:name="仿宋_GB2312">
    <w:altName w:val="仿宋"/>
    <w:panose1 w:val="02010609030101010101"/>
    <w:charset w:val="86"/>
    <w:family w:val="auto"/>
    <w:pitch w:val="default"/>
    <w:sig w:usb0="00000000" w:usb1="00000000" w:usb2="00000000" w:usb3="00000000" w:csb0="00040000" w:csb1="00000000"/>
    <w:embedRegular r:id="rId7" w:fontKey="{D0E18BB3-86BB-4323-85A9-CB320571C2BC}"/>
  </w:font>
  <w:font w:name="’Times New Roman’">
    <w:altName w:val="宋体"/>
    <w:panose1 w:val="00000000000000000000"/>
    <w:charset w:val="86"/>
    <w:family w:val="auto"/>
    <w:pitch w:val="default"/>
    <w:sig w:usb0="00000000" w:usb1="00000000" w:usb2="00000010" w:usb3="00000000" w:csb0="00040000" w:csb1="00000000"/>
    <w:embedRegular r:id="rId8" w:fontKey="{044EE6A6-2875-449F-B649-157FC837A495}"/>
  </w:font>
  <w:font w:name="ˎ̥">
    <w:altName w:val="微软雅黑"/>
    <w:panose1 w:val="00000000000000000000"/>
    <w:charset w:val="00"/>
    <w:family w:val="auto"/>
    <w:pitch w:val="default"/>
    <w:sig w:usb0="00000000" w:usb1="00000000" w:usb2="00000000" w:usb3="00000000" w:csb0="00040001" w:csb1="00000000"/>
    <w:embedRegular r:id="rId9" w:fontKey="{20C7A8E0-4F00-41E5-8C87-FA4B718FAB41}"/>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3FD3F1E"/>
    <w:rsid w:val="260E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3969</Words>
  <Characters>4283</Characters>
  <Lines>0</Lines>
  <Paragraphs>0</Paragraphs>
  <TotalTime>3</TotalTime>
  <ScaleCrop>false</ScaleCrop>
  <LinksUpToDate>false</LinksUpToDate>
  <CharactersWithSpaces>4283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2023-01-04T07:50:47Z</dcterms:created>
  <dc:creator>Administrator</dc:creator>
  <cp:lastModifiedBy>〰</cp:lastModifiedBy>
  <dcterms:modified xsi:type="dcterms:W3CDTF">2023-01-04T07:54:33Z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63EC41887C794EA4A507BFC9AC1596E9</vt:lpwstr>
  </property>
</Properties>
</file>